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left"/>
        <w:rPr>
          <w:rFonts w:hint="eastAsia" w:ascii="黑体" w:hAnsi="宋体" w:eastAsia="黑体" w:cs="黑体"/>
          <w:kern w:val="2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spacing w:val="-6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6"/>
          <w:kern w:val="2"/>
          <w:sz w:val="44"/>
          <w:szCs w:val="44"/>
          <w:lang w:val="en-US" w:eastAsia="zh-CN" w:bidi="ar"/>
        </w:rPr>
        <w:t>国家检察官学院2020年度科研基金资助项目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课题指南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600" w:lineRule="exact"/>
        <w:ind w:left="630" w:leftChars="0" w:right="0" w:rightChars="0"/>
        <w:jc w:val="left"/>
        <w:rPr>
          <w:rFonts w:hint="eastAsia" w:ascii="黑体" w:hAnsi="黑体" w:eastAsia="黑体" w:cs="黑体"/>
          <w:b w:val="0"/>
          <w:kern w:val="2"/>
          <w:sz w:val="32"/>
          <w:szCs w:val="32"/>
        </w:rPr>
      </w:pPr>
      <w:r>
        <w:rPr>
          <w:rFonts w:hint="eastAsia" w:ascii="黑体" w:hAnsi="黑体" w:eastAsia="黑体" w:cs="黑体"/>
          <w:b w:val="0"/>
          <w:kern w:val="2"/>
          <w:sz w:val="32"/>
          <w:szCs w:val="32"/>
          <w:lang w:val="en-US" w:eastAsia="zh-CN" w:bidi="ar"/>
        </w:rPr>
        <w:t>一、重大项目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Times New Roman"/>
          <w:b w:val="0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法律监督体系和监督能力现代化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黑体" w:hAnsi="宋体" w:eastAsia="黑体" w:cs="黑体"/>
          <w:b w:val="0"/>
          <w:kern w:val="2"/>
          <w:sz w:val="32"/>
          <w:szCs w:val="32"/>
          <w:lang w:val="en-US" w:eastAsia="zh-CN" w:bidi="ar"/>
        </w:rPr>
        <w:t>二、重点项目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政治建设融入检察教育培训研究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民法典的司法适用与检察实务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行政检察监督基础理论研究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仿宋" w:hAnsi="仿宋" w:eastAsia="仿宋" w:cs="仿宋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域外检察权运行实践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仿宋" w:cs="Times New Roman"/>
          <w:kern w:val="2"/>
          <w:sz w:val="32"/>
          <w:szCs w:val="32"/>
          <w:u w:val="single"/>
        </w:rPr>
      </w:pPr>
      <w:r>
        <w:rPr>
          <w:rFonts w:hint="eastAsia" w:ascii="黑体" w:hAnsi="宋体" w:eastAsia="黑体" w:cs="黑体"/>
          <w:b w:val="0"/>
          <w:kern w:val="2"/>
          <w:sz w:val="32"/>
          <w:szCs w:val="32"/>
          <w:lang w:val="en-US" w:eastAsia="zh-CN" w:bidi="ar"/>
        </w:rPr>
        <w:t>三、一般项目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eastAsia="zh-CN"/>
        </w:rPr>
        <w:t>网络犯罪重点问题实证研究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eastAsia="zh-CN"/>
        </w:rPr>
        <w:t>民营企业司法保护与检察职能发挥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金融风险防范化解与检察职能发挥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捕诉一体办案机制与两项监督研究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认罪认罚案件量刑建议精准化实证研究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涉众型经济犯罪证据问题研究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罪错未成年人分级处遇研究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kern w:val="2"/>
          <w:sz w:val="32"/>
          <w:szCs w:val="32"/>
          <w:u w:val="single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民事诉讼精准监督研究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虚假诉讼监督疑难问题研究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eastAsia="zh-CN"/>
        </w:rPr>
        <w:t>行政诉讼监督实务研究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行政争议实质性化解的检察实务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行政非诉执行监督实证研究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检察公益诉讼诉权理论研究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检察公益诉讼规则特殊性研究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检察公益诉讼惩罚性赔偿研究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新时代检察机关内部监督制约机制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研究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新时代检察业务态势分析与辅助决策研判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新一代信息技术与检察业务融合发展研究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ED6C58"/>
    <w:multiLevelType w:val="multilevel"/>
    <w:tmpl w:val="83ED6C58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F763D1"/>
    <w:rsid w:val="0C5F5AAE"/>
    <w:rsid w:val="0FBB486E"/>
    <w:rsid w:val="127D597A"/>
    <w:rsid w:val="1A451EB1"/>
    <w:rsid w:val="1DA30C09"/>
    <w:rsid w:val="354C771B"/>
    <w:rsid w:val="4F950215"/>
    <w:rsid w:val="534C543B"/>
    <w:rsid w:val="56A15777"/>
    <w:rsid w:val="5B482B78"/>
    <w:rsid w:val="5FC24527"/>
    <w:rsid w:val="63C24425"/>
    <w:rsid w:val="755E40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liuyajuan</dc:creator>
  <cp:lastModifiedBy>翟望明</cp:lastModifiedBy>
  <cp:lastPrinted>2020-01-10T02:22:44Z</cp:lastPrinted>
  <dcterms:modified xsi:type="dcterms:W3CDTF">2020-01-16T07:37:01Z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