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19" w:lineRule="atLeast"/>
        <w:ind w:left="0" w:right="0" w:firstLine="0"/>
        <w:jc w:val="center"/>
        <w:textAlignment w:val="auto"/>
        <w:rPr>
          <w:rFonts w:hint="eastAsia" w:ascii="华文中宋" w:hAnsi="华文中宋" w:eastAsia="华文中宋" w:cs="华文中宋"/>
          <w:b/>
          <w:bCs/>
          <w:i w:val="0"/>
          <w:caps w:val="0"/>
          <w:color w:val="242424"/>
          <w:spacing w:val="0"/>
          <w:sz w:val="32"/>
          <w:szCs w:val="32"/>
        </w:rPr>
      </w:pPr>
      <w:bookmarkStart w:id="0" w:name="_GoBack"/>
      <w:r>
        <w:rPr>
          <w:rFonts w:hint="eastAsia" w:ascii="华文中宋" w:hAnsi="华文中宋" w:eastAsia="华文中宋" w:cs="华文中宋"/>
          <w:b/>
          <w:bCs/>
          <w:i w:val="0"/>
          <w:caps w:val="0"/>
          <w:color w:val="242424"/>
          <w:spacing w:val="0"/>
          <w:kern w:val="0"/>
          <w:sz w:val="32"/>
          <w:szCs w:val="32"/>
          <w:shd w:val="clear" w:fill="FFFFFF"/>
          <w:lang w:val="en-US" w:eastAsia="zh-CN" w:bidi="ar"/>
        </w:rPr>
        <w:t>最高人民法院2020年度司法研究重大课题及研究重点</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i w:val="0"/>
          <w:caps w:val="0"/>
          <w:color w:val="242424"/>
          <w:spacing w:val="0"/>
          <w:sz w:val="30"/>
          <w:szCs w:val="30"/>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w:t>
      </w:r>
      <w:r>
        <w:rPr>
          <w:rStyle w:val="5"/>
          <w:rFonts w:hint="eastAsia" w:ascii="仿宋" w:hAnsi="仿宋" w:eastAsia="仿宋" w:cs="仿宋"/>
          <w:i w:val="0"/>
          <w:caps w:val="0"/>
          <w:color w:val="242424"/>
          <w:spacing w:val="0"/>
          <w:sz w:val="30"/>
          <w:szCs w:val="30"/>
          <w:bdr w:val="none" w:color="auto" w:sz="0" w:space="0"/>
          <w:shd w:val="clear" w:fill="FFFFFF"/>
        </w:rPr>
        <w:t>1.新时代加强人民法院政治与文化建设研究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研究重点：研究梳理西方“宪政”“三权分立”“司法独立”等司法领域意识形态的典型错误观点和政治陷阱，总结分析各级法院政治建设和文化建设实践过程中存在的问题，完善人民法院坚持党对司法工作绝对领导、坚持中国特色社会主义法治道路的制度机制，创建以培育社会主义法治信仰为重点的法院文化建设的现实路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w:t>
      </w:r>
      <w:r>
        <w:rPr>
          <w:rStyle w:val="5"/>
          <w:rFonts w:hint="eastAsia" w:ascii="仿宋" w:hAnsi="仿宋" w:eastAsia="仿宋" w:cs="仿宋"/>
          <w:i w:val="0"/>
          <w:caps w:val="0"/>
          <w:color w:val="242424"/>
          <w:spacing w:val="0"/>
          <w:sz w:val="30"/>
          <w:szCs w:val="30"/>
          <w:bdr w:val="none" w:color="auto" w:sz="0" w:space="0"/>
          <w:shd w:val="clear" w:fill="FFFFFF"/>
        </w:rPr>
        <w:t>2.为统筹推进疫情防控和经济社会发展提供司法服务保障研究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研究重点：人民法院在服务保障统筹推进新冠肺炎疫情防控和经济社会发展中的职能定位、司法理念、工作机制以及有益经验；疫情防控期间和后期有关热点难点法律问题；针对新情况新问题明确涉疫情案件司法标准和程序，保障疫情防控和复工复产在法治轨道上运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Style w:val="5"/>
          <w:rFonts w:hint="eastAsia" w:ascii="仿宋" w:hAnsi="仿宋" w:eastAsia="仿宋" w:cs="仿宋"/>
          <w:i w:val="0"/>
          <w:caps w:val="0"/>
          <w:color w:val="242424"/>
          <w:spacing w:val="0"/>
          <w:sz w:val="30"/>
          <w:szCs w:val="30"/>
          <w:bdr w:val="none" w:color="auto" w:sz="0" w:space="0"/>
          <w:shd w:val="clear" w:fill="FFFFFF"/>
        </w:rPr>
        <w:t>　　3.妇女儿童老年人权益司法保护研究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研究重点：为老年人追索赡养费、农村留守儿童保护、追索抚养费等案件审判情况；家事审判改革面临的瓶颈和需要解决的问题；家事审判程序改革对妇女儿童老年人权益保护的影响。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w:t>
      </w:r>
      <w:r>
        <w:rPr>
          <w:rStyle w:val="5"/>
          <w:rFonts w:hint="eastAsia" w:ascii="仿宋" w:hAnsi="仿宋" w:eastAsia="仿宋" w:cs="仿宋"/>
          <w:i w:val="0"/>
          <w:caps w:val="0"/>
          <w:color w:val="242424"/>
          <w:spacing w:val="0"/>
          <w:sz w:val="30"/>
          <w:szCs w:val="30"/>
          <w:bdr w:val="none" w:color="auto" w:sz="0" w:space="0"/>
          <w:shd w:val="clear" w:fill="FFFFFF"/>
        </w:rPr>
        <w:t>4.互联网司法治理能力现代化研究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研究重点：人民法院发挥审判职能作用，加强互联网条件下意识形态工作，完善社会主义核心价值观融入互联网审判工作机制，促进网络社会治理能力和国家治理能力现代化的重要意义、特点优势、理念原则、实践经验、工作局限及完善建议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w:t>
      </w:r>
      <w:r>
        <w:rPr>
          <w:rStyle w:val="5"/>
          <w:rFonts w:hint="eastAsia" w:ascii="仿宋" w:hAnsi="仿宋" w:eastAsia="仿宋" w:cs="仿宋"/>
          <w:i w:val="0"/>
          <w:caps w:val="0"/>
          <w:color w:val="242424"/>
          <w:spacing w:val="0"/>
          <w:sz w:val="30"/>
          <w:szCs w:val="30"/>
          <w:bdr w:val="none" w:color="auto" w:sz="0" w:space="0"/>
          <w:shd w:val="clear" w:fill="FFFFFF"/>
        </w:rPr>
        <w:t>5.人民法院统一法律适用机制问题研究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研究重点：健全审判委员会工作机制，完善相关议事程序和议事规则；探索设置多层次多类型的专业法官会议，明确制度功能，完善工作机制；完善指导性案例工作机制，建立地方法院办案指导文件审查备案机制，避免不同地区办案标准的不合理差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w:t>
      </w:r>
      <w:r>
        <w:rPr>
          <w:rStyle w:val="5"/>
          <w:rFonts w:hint="eastAsia" w:ascii="仿宋" w:hAnsi="仿宋" w:eastAsia="仿宋" w:cs="仿宋"/>
          <w:i w:val="0"/>
          <w:caps w:val="0"/>
          <w:color w:val="242424"/>
          <w:spacing w:val="0"/>
          <w:sz w:val="30"/>
          <w:szCs w:val="30"/>
          <w:bdr w:val="none" w:color="auto" w:sz="0" w:space="0"/>
          <w:shd w:val="clear" w:fill="FFFFFF"/>
        </w:rPr>
        <w:t>　6.危害国家安全案件证据标准和诉讼程序研究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研究重点：危害国家安全罪名的构成要件及证明标准；办理危害国家安全案件的原则、总体要求、法律适用、证据收集与运用规则等；案件管辖范围，密级鉴定和情报鉴定的性质、标准和工作程序等问题；技术侦查措施获取的证据移送、使用以及缺席审判、适用认罪认罚从宽制度等程序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Style w:val="5"/>
          <w:rFonts w:hint="eastAsia" w:ascii="仿宋" w:hAnsi="仿宋" w:eastAsia="仿宋" w:cs="仿宋"/>
          <w:i w:val="0"/>
          <w:caps w:val="0"/>
          <w:color w:val="242424"/>
          <w:spacing w:val="0"/>
          <w:sz w:val="30"/>
          <w:szCs w:val="30"/>
          <w:bdr w:val="none" w:color="auto" w:sz="0" w:space="0"/>
          <w:shd w:val="clear" w:fill="FFFFFF"/>
        </w:rPr>
        <w:t>　　7.精神病鉴定与死刑适用问题研究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研究重点：死刑案件中精神病鉴定（含吸毒致幻案件的刑事责任能力鉴定）的现状及存在的问题；限制责任能力精神病人的死刑适用；完善精神病鉴定及死刑适用政策的建议。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w:t>
      </w:r>
      <w:r>
        <w:rPr>
          <w:rStyle w:val="5"/>
          <w:rFonts w:hint="eastAsia" w:ascii="仿宋" w:hAnsi="仿宋" w:eastAsia="仿宋" w:cs="仿宋"/>
          <w:i w:val="0"/>
          <w:caps w:val="0"/>
          <w:color w:val="242424"/>
          <w:spacing w:val="0"/>
          <w:sz w:val="30"/>
          <w:szCs w:val="30"/>
          <w:bdr w:val="none" w:color="auto" w:sz="0" w:space="0"/>
          <w:shd w:val="clear" w:fill="FFFFFF"/>
        </w:rPr>
        <w:t>　8.信息网络犯罪司法适用疑难问题研究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研究重点：当前信息网络犯罪的态势与特点；办理信息网络犯罪案件适用刑法、刑事诉讼法规定的具体难题与解决方案。关于信息网络犯罪的法律适用问题，主要包括网络犯罪黑灰产业链各个环节的罪名适用，窃取微信、支付宝余额的罪名定性，打码平台的刑事责任确定等问题，以及电子证据的审查运用、网络犯罪的管辖等程序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w:t>
      </w:r>
      <w:r>
        <w:rPr>
          <w:rStyle w:val="5"/>
          <w:rFonts w:hint="eastAsia" w:ascii="仿宋" w:hAnsi="仿宋" w:eastAsia="仿宋" w:cs="仿宋"/>
          <w:i w:val="0"/>
          <w:caps w:val="0"/>
          <w:color w:val="242424"/>
          <w:spacing w:val="0"/>
          <w:sz w:val="30"/>
          <w:szCs w:val="30"/>
          <w:bdr w:val="none" w:color="auto" w:sz="0" w:space="0"/>
          <w:shd w:val="clear" w:fill="FFFFFF"/>
        </w:rPr>
        <w:t>9.民法典适用问题研究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研究重点：就民事立法新旧衔接适用、民法典总则编规定的解释、《民通意见》及相关司法解释的废改、人格权法律适用以及民法典其他各编新增、重大修改条文，紧密结合立法原意、审判实践以及理论研究成果，进行系统梳理，提出可行性法律适用意见建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w:t>
      </w:r>
      <w:r>
        <w:rPr>
          <w:rStyle w:val="5"/>
          <w:rFonts w:hint="eastAsia" w:ascii="仿宋" w:hAnsi="仿宋" w:eastAsia="仿宋" w:cs="仿宋"/>
          <w:i w:val="0"/>
          <w:caps w:val="0"/>
          <w:color w:val="242424"/>
          <w:spacing w:val="0"/>
          <w:sz w:val="30"/>
          <w:szCs w:val="30"/>
          <w:bdr w:val="none" w:color="auto" w:sz="0" w:space="0"/>
          <w:shd w:val="clear" w:fill="FFFFFF"/>
        </w:rPr>
        <w:t>　10.营业信托纠纷案件审理中的法律问题研究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研究重点：明确信托合同的成立与生效要件，信托合同的有效与无效认定及其法律后果；依法可以作为信托财产的范围；股权作为信托财产时，信托公司的持股责任与公司一般股东信托责任的联系与区别；勤勉尽责受托人义务的司法认定标准以及受托人的赔偿责任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w:t>
      </w:r>
      <w:r>
        <w:rPr>
          <w:rStyle w:val="5"/>
          <w:rFonts w:hint="eastAsia" w:ascii="仿宋" w:hAnsi="仿宋" w:eastAsia="仿宋" w:cs="仿宋"/>
          <w:i w:val="0"/>
          <w:caps w:val="0"/>
          <w:color w:val="242424"/>
          <w:spacing w:val="0"/>
          <w:sz w:val="30"/>
          <w:szCs w:val="30"/>
          <w:bdr w:val="none" w:color="auto" w:sz="0" w:space="0"/>
          <w:shd w:val="clear" w:fill="FFFFFF"/>
        </w:rPr>
        <w:t>　11.涉外知识产权纠纷中国司法管辖权问题研究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研究重点：探讨以禁诉令、反禁诉令以及当事人在我国提起确认之诉等手段，构建维护我国法院对涉外知识产权纠纷所享有的司法主权及保护当事人正当权益的机制。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w:t>
      </w:r>
      <w:r>
        <w:rPr>
          <w:rStyle w:val="5"/>
          <w:rFonts w:hint="eastAsia" w:ascii="仿宋" w:hAnsi="仿宋" w:eastAsia="仿宋" w:cs="仿宋"/>
          <w:i w:val="0"/>
          <w:caps w:val="0"/>
          <w:color w:val="242424"/>
          <w:spacing w:val="0"/>
          <w:sz w:val="30"/>
          <w:szCs w:val="30"/>
          <w:bdr w:val="none" w:color="auto" w:sz="0" w:space="0"/>
          <w:shd w:val="clear" w:fill="FFFFFF"/>
        </w:rPr>
        <w:t>12.我国国际商事法庭运行机制研究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研究重点：我国国际商事法庭的设立背景和运行情况以及面临的问题和困难；域外国家国际商事法庭发展态势的比较研究；完善国际商事法庭运行机制的对策。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Style w:val="5"/>
          <w:rFonts w:hint="eastAsia" w:ascii="仿宋" w:hAnsi="仿宋" w:eastAsia="仿宋" w:cs="仿宋"/>
          <w:i w:val="0"/>
          <w:caps w:val="0"/>
          <w:color w:val="242424"/>
          <w:spacing w:val="0"/>
          <w:sz w:val="30"/>
          <w:szCs w:val="30"/>
          <w:bdr w:val="none" w:color="auto" w:sz="0" w:space="0"/>
          <w:shd w:val="clear" w:fill="FFFFFF"/>
        </w:rPr>
        <w:t>　　13.行政争议诉源治理机制研究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研究重点：完善行政争议化解司法行政协作机制；坚持问题导向，探索涉诉行政争议应对、甄别、化解效率优化机制；强化诉外行政机关主导的争议化解机制。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sz w:val="30"/>
          <w:szCs w:val="30"/>
        </w:rPr>
      </w:pPr>
      <w:r>
        <w:rPr>
          <w:rFonts w:hint="eastAsia" w:ascii="仿宋" w:hAnsi="仿宋" w:eastAsia="仿宋" w:cs="仿宋"/>
          <w:i w:val="0"/>
          <w:caps w:val="0"/>
          <w:color w:val="242424"/>
          <w:spacing w:val="0"/>
          <w:sz w:val="30"/>
          <w:szCs w:val="30"/>
          <w:bdr w:val="none" w:color="auto" w:sz="0" w:space="0"/>
          <w:shd w:val="clear" w:fill="FFFFFF"/>
        </w:rPr>
        <w:t>　</w:t>
      </w:r>
      <w:r>
        <w:rPr>
          <w:rStyle w:val="5"/>
          <w:rFonts w:hint="eastAsia" w:ascii="仿宋" w:hAnsi="仿宋" w:eastAsia="仿宋" w:cs="仿宋"/>
          <w:i w:val="0"/>
          <w:caps w:val="0"/>
          <w:color w:val="242424"/>
          <w:spacing w:val="0"/>
          <w:sz w:val="30"/>
          <w:szCs w:val="30"/>
          <w:bdr w:val="none" w:color="auto" w:sz="0" w:space="0"/>
          <w:shd w:val="clear" w:fill="FFFFFF"/>
        </w:rPr>
        <w:t>　14.互联网时代电子诉讼规则研究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i w:val="0"/>
          <w:caps w:val="0"/>
          <w:color w:val="242424"/>
          <w:spacing w:val="0"/>
          <w:sz w:val="30"/>
          <w:szCs w:val="30"/>
          <w:bdr w:val="none" w:color="auto" w:sz="0" w:space="0"/>
          <w:shd w:val="clear" w:fill="FFFFFF"/>
          <w:lang w:eastAsia="zh-CN"/>
        </w:rPr>
      </w:pPr>
      <w:r>
        <w:rPr>
          <w:rFonts w:hint="eastAsia" w:ascii="仿宋" w:hAnsi="仿宋" w:eastAsia="仿宋" w:cs="仿宋"/>
          <w:i w:val="0"/>
          <w:caps w:val="0"/>
          <w:color w:val="242424"/>
          <w:spacing w:val="0"/>
          <w:sz w:val="30"/>
          <w:szCs w:val="30"/>
          <w:bdr w:val="none" w:color="auto" w:sz="0" w:space="0"/>
          <w:shd w:val="clear" w:fill="FFFFFF"/>
        </w:rPr>
        <w:t>　　研究重点：电子诉讼的基本原则；线上立案、在线庭审、电子送达的条件、范围和方式；电子化材料的效力以及裁判生效标准等。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 w:lineRule="atLeast"/>
        <w:ind w:left="0" w:right="0"/>
        <w:textAlignment w:val="auto"/>
        <w:rPr>
          <w:rFonts w:hint="eastAsia" w:ascii="仿宋" w:hAnsi="仿宋" w:eastAsia="仿宋" w:cs="仿宋"/>
          <w:i w:val="0"/>
          <w:caps w:val="0"/>
          <w:color w:val="242424"/>
          <w:spacing w:val="0"/>
          <w:sz w:val="30"/>
          <w:szCs w:val="30"/>
          <w:bdr w:val="none" w:color="auto" w:sz="0" w:space="0"/>
          <w:shd w:val="clear"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BF307D"/>
    <w:rsid w:val="5EBF30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2020-05-13T06:44:00Z</dcterms:created>
  <dc:creator>邹家珉</dc:creator>
  <cp:lastModifiedBy>邹家珉</cp:lastModifiedBy>
  <dcterms:modified xsi:type="dcterms:W3CDTF">2020-05-13T06:45:37Z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